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F6728" w:rsidTr="00EB465B">
        <w:tc>
          <w:tcPr>
            <w:tcW w:w="9462" w:type="dxa"/>
            <w:gridSpan w:val="4"/>
            <w:hideMark/>
          </w:tcPr>
          <w:p w:rsidR="008F6728" w:rsidRPr="006C4719" w:rsidRDefault="008F6728" w:rsidP="00EB465B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ТЕРРИТОРИАЛЬНАЯ ИЗБИРАТЕЛЬНАЯ КОМИССИЯ</w:t>
            </w:r>
          </w:p>
          <w:p w:rsidR="008F6728" w:rsidRPr="006C4719" w:rsidRDefault="008F6728" w:rsidP="00EB465B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C471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8F6728" w:rsidTr="00EB465B">
        <w:tc>
          <w:tcPr>
            <w:tcW w:w="9462" w:type="dxa"/>
            <w:gridSpan w:val="4"/>
          </w:tcPr>
          <w:p w:rsidR="008F6728" w:rsidRPr="006C4719" w:rsidRDefault="008F6728" w:rsidP="00EB465B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8F6728" w:rsidTr="00EB465B">
        <w:tc>
          <w:tcPr>
            <w:tcW w:w="9462" w:type="dxa"/>
            <w:gridSpan w:val="4"/>
            <w:hideMark/>
          </w:tcPr>
          <w:p w:rsidR="008F6728" w:rsidRPr="006C4719" w:rsidRDefault="008F6728" w:rsidP="00EB465B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ПОСТАНОВЛЕНИЕ</w:t>
            </w:r>
          </w:p>
        </w:tc>
      </w:tr>
      <w:tr w:rsidR="008F6728" w:rsidTr="00EB465B">
        <w:tc>
          <w:tcPr>
            <w:tcW w:w="9462" w:type="dxa"/>
            <w:gridSpan w:val="4"/>
          </w:tcPr>
          <w:p w:rsidR="008F6728" w:rsidRDefault="008F6728" w:rsidP="00EB46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6728" w:rsidTr="00EB465B">
        <w:tc>
          <w:tcPr>
            <w:tcW w:w="4405" w:type="dxa"/>
            <w:gridSpan w:val="2"/>
            <w:hideMark/>
          </w:tcPr>
          <w:p w:rsidR="008F6728" w:rsidRDefault="008F6728" w:rsidP="00EB465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июля 2024 года</w:t>
            </w:r>
          </w:p>
        </w:tc>
        <w:tc>
          <w:tcPr>
            <w:tcW w:w="5057" w:type="dxa"/>
            <w:gridSpan w:val="2"/>
            <w:hideMark/>
          </w:tcPr>
          <w:p w:rsidR="008F6728" w:rsidRDefault="008F6728" w:rsidP="008F67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 85/50</w:t>
            </w:r>
            <w:r>
              <w:rPr>
                <w:sz w:val="28"/>
                <w:szCs w:val="28"/>
              </w:rPr>
              <w:t>7</w:t>
            </w:r>
          </w:p>
        </w:tc>
      </w:tr>
      <w:tr w:rsidR="008F6728" w:rsidTr="00EB465B">
        <w:tc>
          <w:tcPr>
            <w:tcW w:w="3196" w:type="dxa"/>
          </w:tcPr>
          <w:p w:rsidR="008F6728" w:rsidRDefault="008F6728" w:rsidP="00EB465B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8F6728" w:rsidRDefault="008F6728" w:rsidP="00EB465B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8F6728" w:rsidRDefault="008F6728" w:rsidP="00EB465B">
            <w:pPr>
              <w:rPr>
                <w:bCs/>
                <w:sz w:val="22"/>
                <w:szCs w:val="22"/>
              </w:rPr>
            </w:pPr>
          </w:p>
        </w:tc>
      </w:tr>
      <w:tr w:rsidR="008F6728" w:rsidTr="00EB465B">
        <w:tc>
          <w:tcPr>
            <w:tcW w:w="3196" w:type="dxa"/>
          </w:tcPr>
          <w:p w:rsidR="008F6728" w:rsidRDefault="008F6728" w:rsidP="00EB465B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8F6728" w:rsidRDefault="008F6728" w:rsidP="00EB465B">
            <w:pPr>
              <w:jc w:val="center"/>
              <w:rPr>
                <w:bCs/>
                <w:szCs w:val="22"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8F6728" w:rsidRDefault="008F6728" w:rsidP="00EB465B">
            <w:pPr>
              <w:rPr>
                <w:bCs/>
                <w:sz w:val="22"/>
                <w:szCs w:val="22"/>
              </w:rPr>
            </w:pPr>
          </w:p>
        </w:tc>
      </w:tr>
    </w:tbl>
    <w:p w:rsidR="008F6728" w:rsidRDefault="008F6728" w:rsidP="00AA480D">
      <w:pPr>
        <w:jc w:val="center"/>
        <w:rPr>
          <w:b/>
          <w:color w:val="000000"/>
          <w:sz w:val="28"/>
        </w:rPr>
      </w:pPr>
    </w:p>
    <w:p w:rsidR="008F6728" w:rsidRDefault="008F6728" w:rsidP="00AA480D">
      <w:pPr>
        <w:jc w:val="center"/>
        <w:rPr>
          <w:b/>
          <w:color w:val="000000"/>
          <w:sz w:val="28"/>
        </w:rPr>
      </w:pPr>
    </w:p>
    <w:p w:rsidR="00AA480D" w:rsidRPr="008F6728" w:rsidRDefault="00AA480D" w:rsidP="00AA480D">
      <w:pPr>
        <w:tabs>
          <w:tab w:val="left" w:pos="-2250"/>
        </w:tabs>
        <w:jc w:val="center"/>
        <w:rPr>
          <w:b/>
          <w:color w:val="000000"/>
          <w:sz w:val="28"/>
          <w:szCs w:val="28"/>
        </w:rPr>
      </w:pPr>
      <w:r w:rsidRPr="008F6728">
        <w:rPr>
          <w:b/>
          <w:sz w:val="28"/>
          <w:szCs w:val="28"/>
        </w:rPr>
        <w:t xml:space="preserve">Об отказе в заверении списка кандидатов в депутаты Совета депутатов  городского поселения город Лебедянь Лебедянского муниципального района </w:t>
      </w:r>
      <w:r w:rsidR="004C7899">
        <w:rPr>
          <w:b/>
          <w:sz w:val="28"/>
          <w:szCs w:val="28"/>
        </w:rPr>
        <w:t xml:space="preserve">Липецкой области </w:t>
      </w:r>
      <w:r w:rsidRPr="008F6728">
        <w:rPr>
          <w:b/>
          <w:sz w:val="28"/>
          <w:szCs w:val="28"/>
        </w:rPr>
        <w:t>Российской Федерации четвертого созыва</w:t>
      </w:r>
      <w:r w:rsidRPr="008F6728">
        <w:rPr>
          <w:b/>
          <w:color w:val="000000"/>
          <w:sz w:val="28"/>
          <w:szCs w:val="28"/>
        </w:rPr>
        <w:t>,</w:t>
      </w:r>
    </w:p>
    <w:p w:rsidR="004C7899" w:rsidRDefault="00AA480D" w:rsidP="00AA480D">
      <w:pPr>
        <w:tabs>
          <w:tab w:val="left" w:pos="-2250"/>
        </w:tabs>
        <w:jc w:val="center"/>
        <w:rPr>
          <w:b/>
          <w:sz w:val="28"/>
          <w:szCs w:val="28"/>
        </w:rPr>
      </w:pPr>
      <w:r w:rsidRPr="008F6728">
        <w:rPr>
          <w:b/>
          <w:sz w:val="28"/>
          <w:szCs w:val="28"/>
        </w:rPr>
        <w:t xml:space="preserve">выдвинутых избирательным объединением «ВСЕРОССИЙСКАЯ ПОЛИТИЧЕСКАЯ ПАРТИЯ «ГРАЖДАНСКАЯ ИНИЦИАТИВА»  по одномандатным избирательным округам на дополнительных выборах  депутата  Совета депутатов  городского поселения город Лебедянь Лебедянского муниципального района </w:t>
      </w:r>
      <w:r w:rsidR="004C7899">
        <w:rPr>
          <w:b/>
          <w:sz w:val="28"/>
          <w:szCs w:val="28"/>
        </w:rPr>
        <w:t xml:space="preserve">Липецкой области </w:t>
      </w:r>
      <w:r w:rsidRPr="008F6728">
        <w:rPr>
          <w:b/>
          <w:sz w:val="28"/>
          <w:szCs w:val="28"/>
        </w:rPr>
        <w:t xml:space="preserve">Российской Федерации четвертого созыва по одномандатному </w:t>
      </w:r>
    </w:p>
    <w:p w:rsidR="00AA480D" w:rsidRPr="008F6728" w:rsidRDefault="00AA480D" w:rsidP="00AA480D">
      <w:pPr>
        <w:tabs>
          <w:tab w:val="left" w:pos="-2250"/>
        </w:tabs>
        <w:jc w:val="center"/>
        <w:rPr>
          <w:b/>
          <w:sz w:val="28"/>
          <w:szCs w:val="28"/>
        </w:rPr>
      </w:pPr>
      <w:r w:rsidRPr="008F6728">
        <w:rPr>
          <w:b/>
          <w:sz w:val="28"/>
          <w:szCs w:val="28"/>
        </w:rPr>
        <w:t>избирательному округу №4</w:t>
      </w:r>
    </w:p>
    <w:p w:rsidR="00AA480D" w:rsidRPr="008F6728" w:rsidRDefault="00AA480D" w:rsidP="008F6728">
      <w:pPr>
        <w:spacing w:line="264" w:lineRule="auto"/>
        <w:jc w:val="center"/>
        <w:rPr>
          <w:sz w:val="28"/>
        </w:rPr>
      </w:pPr>
    </w:p>
    <w:p w:rsidR="00AA480D" w:rsidRPr="008F6728" w:rsidRDefault="00AA480D" w:rsidP="008F6728">
      <w:pPr>
        <w:tabs>
          <w:tab w:val="left" w:pos="-2250"/>
        </w:tabs>
        <w:spacing w:line="264" w:lineRule="auto"/>
        <w:jc w:val="both"/>
        <w:rPr>
          <w:bCs/>
          <w:sz w:val="28"/>
          <w:szCs w:val="28"/>
        </w:rPr>
      </w:pPr>
      <w:r w:rsidRPr="008F6728">
        <w:rPr>
          <w:sz w:val="28"/>
        </w:rPr>
        <w:tab/>
        <w:t xml:space="preserve">Избирательное объединение «ВСЕРОССИЙСКАЯ ПОЛИТИЧЕСКАЯ ПАРТИЯ «ГРАЖДАНСКАЯ ИНИЦИАТИВА» 6 июля 2024 года представила в  территориальную избирательную комиссию Лебедянского района документы для заверения списка кандидатов </w:t>
      </w:r>
      <w:r w:rsidRPr="008F6728">
        <w:rPr>
          <w:bCs/>
          <w:sz w:val="28"/>
          <w:szCs w:val="28"/>
        </w:rPr>
        <w:t xml:space="preserve">в депутаты Совета депутатов  городского поселения город Лебедянь Лебедянского муниципального района </w:t>
      </w:r>
      <w:r w:rsidR="004C7899">
        <w:rPr>
          <w:bCs/>
          <w:sz w:val="28"/>
          <w:szCs w:val="28"/>
        </w:rPr>
        <w:t xml:space="preserve">Липецкой области </w:t>
      </w:r>
      <w:r w:rsidRPr="008F6728">
        <w:rPr>
          <w:bCs/>
          <w:sz w:val="28"/>
          <w:szCs w:val="28"/>
        </w:rPr>
        <w:t>Российской Федерации четвертого созыва</w:t>
      </w:r>
      <w:r w:rsidRPr="008F6728">
        <w:rPr>
          <w:bCs/>
          <w:color w:val="000000"/>
          <w:sz w:val="28"/>
          <w:szCs w:val="28"/>
        </w:rPr>
        <w:t xml:space="preserve">, </w:t>
      </w:r>
      <w:r w:rsidRPr="008F6728">
        <w:rPr>
          <w:bCs/>
          <w:sz w:val="28"/>
          <w:szCs w:val="28"/>
        </w:rPr>
        <w:t xml:space="preserve">выдвинутых избирательным объединением «ВСЕРОССИЙСКАЯ ПОЛИТИЧЕСКАЯ ПАРТИЯ «ГРАЖДАНСКАЯ ИНИЦИАТИВА» по одномандатным избирательным округам на дополнительных выборах  депутата  Совета депутатов  городского поселения город Лебедянь Лебедянского муниципального района </w:t>
      </w:r>
      <w:r w:rsidR="004C7899">
        <w:rPr>
          <w:bCs/>
          <w:sz w:val="28"/>
          <w:szCs w:val="28"/>
        </w:rPr>
        <w:t xml:space="preserve">Липецкой области </w:t>
      </w:r>
      <w:r w:rsidRPr="008F6728">
        <w:rPr>
          <w:bCs/>
          <w:sz w:val="28"/>
          <w:szCs w:val="28"/>
        </w:rPr>
        <w:t>Российской Федерации четвертого созыва по одномандатному избирательному округу №4.</w:t>
      </w:r>
    </w:p>
    <w:p w:rsidR="00AA480D" w:rsidRPr="008F6728" w:rsidRDefault="00AA480D" w:rsidP="008F6728">
      <w:pPr>
        <w:spacing w:line="264" w:lineRule="auto"/>
        <w:ind w:firstLine="708"/>
        <w:jc w:val="both"/>
        <w:rPr>
          <w:sz w:val="28"/>
        </w:rPr>
      </w:pPr>
      <w:r w:rsidRPr="008F6728">
        <w:rPr>
          <w:sz w:val="28"/>
        </w:rPr>
        <w:t xml:space="preserve">В соответствии с пунктом 1 части 3 статьи 34 Закона Липецкой области  от 06.06.2007 №60-ОЗ «О выборах депутатов представительных органов муниципальных образований в Липецкой области» (далее - Областной закон) в территориальную избирательную комиссию Лебедянского района должно быть представлено заявление кандидата о согласии баллотироваться по соответствующему избирательному округу с обязательством в случае его избрания прекратить деятельность, несовместимую со статусом депутата. Вместе с тем указанное заявление не представлено. </w:t>
      </w:r>
    </w:p>
    <w:p w:rsidR="00AA480D" w:rsidRPr="008F6728" w:rsidRDefault="00AA480D" w:rsidP="008F6728">
      <w:pPr>
        <w:spacing w:line="264" w:lineRule="auto"/>
        <w:ind w:firstLine="708"/>
        <w:jc w:val="both"/>
        <w:rPr>
          <w:sz w:val="28"/>
        </w:rPr>
      </w:pPr>
      <w:r w:rsidRPr="008F6728">
        <w:rPr>
          <w:sz w:val="28"/>
        </w:rPr>
        <w:t xml:space="preserve">Несоблюдение требований, предусмотренных пунктом 1 части 3 статьи 34 Областного закона, влечет за собой исключение кандидата из списка кандидатов. </w:t>
      </w:r>
    </w:p>
    <w:p w:rsidR="00AA480D" w:rsidRPr="008F6728" w:rsidRDefault="00AA480D" w:rsidP="008F6728">
      <w:pPr>
        <w:autoSpaceDE w:val="0"/>
        <w:autoSpaceDN w:val="0"/>
        <w:adjustRightInd w:val="0"/>
        <w:spacing w:line="264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F6728">
        <w:rPr>
          <w:sz w:val="28"/>
        </w:rPr>
        <w:t>В соответствии с частью 1 статьи 34 Областного закона с</w:t>
      </w:r>
      <w:r w:rsidRPr="008F6728">
        <w:rPr>
          <w:rFonts w:eastAsiaTheme="minorHAnsi"/>
          <w:sz w:val="28"/>
          <w:szCs w:val="28"/>
          <w:lang w:eastAsia="en-US"/>
        </w:rPr>
        <w:t xml:space="preserve">писок кандидатов представляется в избирательную комиссию, организующую выборы, в двух экземплярах на бумажном носителе в машинописном виде и в одном экземпляре в машиночитаемом виде по форме, утвержденной этой комиссией. Вместе с тем список кандидатов в машиночитаемом виде не представлен, в списке </w:t>
      </w:r>
      <w:r w:rsidRPr="008F6728">
        <w:rPr>
          <w:rFonts w:eastAsiaTheme="minorHAnsi"/>
          <w:sz w:val="28"/>
          <w:szCs w:val="28"/>
          <w:lang w:eastAsia="en-US"/>
        </w:rPr>
        <w:lastRenderedPageBreak/>
        <w:t xml:space="preserve">кандидатов в машинописном виде не содержатся сведения о месте рождения кандидата. </w:t>
      </w:r>
    </w:p>
    <w:p w:rsidR="00F04DCF" w:rsidRPr="008F6728" w:rsidRDefault="00F04DCF" w:rsidP="008F6728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</w:rPr>
      </w:pPr>
      <w:r w:rsidRPr="008F6728">
        <w:rPr>
          <w:sz w:val="28"/>
        </w:rPr>
        <w:t>В соответствии с пунктом 3 части 2 статьи 34 Областного закона одновременно со списком кандидатов должно быть представлено решение уполномоченного органа избирательного объединения о выдвижении списка кандидатов по одномандатным избирательным округам. В представленной выписк</w:t>
      </w:r>
      <w:r w:rsidR="0060239C" w:rsidRPr="008F6728">
        <w:rPr>
          <w:sz w:val="28"/>
        </w:rPr>
        <w:t>е</w:t>
      </w:r>
      <w:r w:rsidRPr="008F6728">
        <w:rPr>
          <w:sz w:val="28"/>
        </w:rPr>
        <w:t xml:space="preserve"> из Протокола заседания Политического совета от 26.06.2024 №03/06/2024  указанное решение</w:t>
      </w:r>
      <w:r w:rsidR="0060239C" w:rsidRPr="008F6728">
        <w:rPr>
          <w:sz w:val="28"/>
        </w:rPr>
        <w:t xml:space="preserve"> отсутствует</w:t>
      </w:r>
      <w:r w:rsidRPr="008F6728">
        <w:rPr>
          <w:sz w:val="28"/>
        </w:rPr>
        <w:t xml:space="preserve">. </w:t>
      </w:r>
    </w:p>
    <w:p w:rsidR="00AA480D" w:rsidRPr="008F6728" w:rsidRDefault="00AA480D" w:rsidP="008F6728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8"/>
        </w:rPr>
      </w:pPr>
      <w:r w:rsidRPr="008F6728">
        <w:rPr>
          <w:sz w:val="28"/>
        </w:rPr>
        <w:t xml:space="preserve">В соответствии с пунктом 4 части 2 статьи 34 и частью 5 статьи 42 Областного закона одновременно со списком кандидатов должен быть  представлен список уполномоченных представителей избирательного объединения </w:t>
      </w:r>
      <w:r w:rsidRPr="008F6728">
        <w:rPr>
          <w:rFonts w:eastAsiaTheme="minorHAnsi"/>
          <w:sz w:val="28"/>
          <w:szCs w:val="28"/>
          <w:lang w:eastAsia="en-US"/>
        </w:rPr>
        <w:t xml:space="preserve">по форме, установленной избирательной комиссией, организующей выборы, с приложением письменного согласия каждого из перечисленных лиц осуществлять указанную деятельность. При этом список уполномоченных представителей избирательного объединения, письменное согласие уполномоченного представителя осуществлять указанную деятельность не представлены. </w:t>
      </w:r>
    </w:p>
    <w:p w:rsidR="00AA480D" w:rsidRPr="008F6728" w:rsidRDefault="00AA480D" w:rsidP="008F6728">
      <w:pPr>
        <w:spacing w:line="264" w:lineRule="auto"/>
        <w:ind w:firstLine="708"/>
        <w:jc w:val="both"/>
        <w:rPr>
          <w:sz w:val="28"/>
          <w:szCs w:val="28"/>
        </w:rPr>
      </w:pPr>
      <w:r w:rsidRPr="008F6728">
        <w:rPr>
          <w:sz w:val="28"/>
        </w:rPr>
        <w:t xml:space="preserve">На основании изложенного, в  соответствии с частью 2.1 статьи 25, частью 6 статьи 34 Областного закона, </w:t>
      </w:r>
      <w:r w:rsidRPr="008F6728">
        <w:rPr>
          <w:sz w:val="28"/>
          <w:szCs w:val="28"/>
        </w:rPr>
        <w:t xml:space="preserve">постановлением </w:t>
      </w:r>
      <w:r w:rsidR="008F6728" w:rsidRPr="008F6728">
        <w:rPr>
          <w:sz w:val="28"/>
          <w:szCs w:val="28"/>
        </w:rPr>
        <w:t xml:space="preserve">избирательной комиссии Липецкой области </w:t>
      </w:r>
      <w:r w:rsidR="008F6728" w:rsidRPr="008F6728">
        <w:rPr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8F6728" w:rsidRPr="008F6728">
        <w:rPr>
          <w:sz w:val="28"/>
          <w:szCs w:val="28"/>
        </w:rPr>
        <w:t xml:space="preserve"> </w:t>
      </w:r>
      <w:r w:rsidRPr="008F6728">
        <w:rPr>
          <w:sz w:val="28"/>
          <w:szCs w:val="28"/>
        </w:rPr>
        <w:t>территориальная избирательная комиссия Лебедянского района</w:t>
      </w:r>
      <w:r w:rsidRPr="008F6728">
        <w:rPr>
          <w:b/>
          <w:sz w:val="28"/>
          <w:szCs w:val="28"/>
        </w:rPr>
        <w:t xml:space="preserve"> постановляет</w:t>
      </w:r>
      <w:r w:rsidRPr="008F6728">
        <w:rPr>
          <w:sz w:val="28"/>
          <w:szCs w:val="28"/>
        </w:rPr>
        <w:t>:</w:t>
      </w:r>
    </w:p>
    <w:p w:rsidR="00AA480D" w:rsidRPr="008F6728" w:rsidRDefault="00AA480D" w:rsidP="008F6728">
      <w:pPr>
        <w:tabs>
          <w:tab w:val="left" w:pos="-2250"/>
        </w:tabs>
        <w:spacing w:line="264" w:lineRule="auto"/>
        <w:jc w:val="both"/>
        <w:rPr>
          <w:sz w:val="28"/>
        </w:rPr>
      </w:pPr>
      <w:r w:rsidRPr="008F6728">
        <w:rPr>
          <w:sz w:val="28"/>
        </w:rPr>
        <w:tab/>
        <w:t xml:space="preserve">1. Исключить из </w:t>
      </w:r>
      <w:r w:rsidRPr="008F6728">
        <w:rPr>
          <w:sz w:val="28"/>
          <w:szCs w:val="28"/>
        </w:rPr>
        <w:t>списка кандидатов в депутаты Совета депутатов  городского поселения город Лебедянь Лебедянского муниципального района</w:t>
      </w:r>
      <w:r w:rsidR="004C7899">
        <w:rPr>
          <w:sz w:val="28"/>
          <w:szCs w:val="28"/>
        </w:rPr>
        <w:t xml:space="preserve"> Липецкой области </w:t>
      </w:r>
      <w:r w:rsidRPr="008F6728">
        <w:rPr>
          <w:sz w:val="28"/>
          <w:szCs w:val="28"/>
        </w:rPr>
        <w:t>Российской Федерации четвертого созыва</w:t>
      </w:r>
      <w:r w:rsidRPr="008F6728">
        <w:rPr>
          <w:color w:val="000000"/>
          <w:sz w:val="28"/>
          <w:szCs w:val="28"/>
        </w:rPr>
        <w:t xml:space="preserve">, </w:t>
      </w:r>
      <w:r w:rsidRPr="008F6728">
        <w:rPr>
          <w:sz w:val="28"/>
          <w:szCs w:val="28"/>
        </w:rPr>
        <w:t xml:space="preserve">выдвинутых избирательным объединением «ВСЕРОССИЙСКАЯ ПОЛИТИЧЕСКАЯ ПАРТИЯ «ГРАЖДАНСКАЯ ИНИЦИАТИВА» по одномандатным избирательным округам на дополнительных выборах депутата  Совета депутатов  городского поселения город Лебедянь Лебедянского муниципального района </w:t>
      </w:r>
      <w:r w:rsidR="004C7899">
        <w:rPr>
          <w:sz w:val="28"/>
          <w:szCs w:val="28"/>
        </w:rPr>
        <w:t xml:space="preserve">Липецкой области </w:t>
      </w:r>
      <w:r w:rsidRPr="008F6728">
        <w:rPr>
          <w:sz w:val="28"/>
          <w:szCs w:val="28"/>
        </w:rPr>
        <w:t>Российской Федерации четвертого созыва по одномандатному избирательному округу №4</w:t>
      </w:r>
      <w:r w:rsidRPr="008F6728">
        <w:rPr>
          <w:sz w:val="28"/>
        </w:rPr>
        <w:t xml:space="preserve">, Гриднева Илью Викторовича (одномандатный избирательный округ №4). </w:t>
      </w:r>
    </w:p>
    <w:p w:rsidR="00AA480D" w:rsidRPr="008F6728" w:rsidRDefault="00AA480D" w:rsidP="008F6728">
      <w:pPr>
        <w:tabs>
          <w:tab w:val="left" w:pos="-2250"/>
        </w:tabs>
        <w:spacing w:line="264" w:lineRule="auto"/>
        <w:jc w:val="both"/>
        <w:rPr>
          <w:sz w:val="28"/>
          <w:szCs w:val="28"/>
        </w:rPr>
      </w:pPr>
      <w:r w:rsidRPr="008F6728">
        <w:rPr>
          <w:sz w:val="28"/>
        </w:rPr>
        <w:tab/>
        <w:t xml:space="preserve">2. Отказать в заверении </w:t>
      </w:r>
      <w:r w:rsidRPr="008F6728">
        <w:rPr>
          <w:sz w:val="28"/>
          <w:szCs w:val="28"/>
        </w:rPr>
        <w:t>списка кандидатов в депутаты Совета депутатов  городского поселения город Лебедянь Лебедянского муниципального района</w:t>
      </w:r>
      <w:r w:rsidR="004C7899">
        <w:rPr>
          <w:sz w:val="28"/>
          <w:szCs w:val="28"/>
        </w:rPr>
        <w:t xml:space="preserve"> Липецкой области</w:t>
      </w:r>
      <w:r w:rsidRPr="008F6728">
        <w:rPr>
          <w:sz w:val="28"/>
          <w:szCs w:val="28"/>
        </w:rPr>
        <w:t xml:space="preserve"> Российской Федерации четвертого созыва</w:t>
      </w:r>
      <w:r w:rsidRPr="008F6728">
        <w:rPr>
          <w:color w:val="000000"/>
          <w:sz w:val="28"/>
          <w:szCs w:val="28"/>
        </w:rPr>
        <w:t xml:space="preserve">, </w:t>
      </w:r>
      <w:r w:rsidRPr="008F6728">
        <w:rPr>
          <w:sz w:val="28"/>
          <w:szCs w:val="28"/>
        </w:rPr>
        <w:t xml:space="preserve">выдвинутых избирательным объединением «ВСЕРОССИЙСКАЯ ПОЛИТИЧЕСКАЯ ПАРТИЯ «ГРАЖДАНСКАЯ ИНИЦИАТИВА» по одномандатным избирательным округам на дополнительных выборах депутата Совета депутатов городского поселения город Лебедянь Лебедянского муниципального района </w:t>
      </w:r>
      <w:r w:rsidR="004C7899">
        <w:rPr>
          <w:sz w:val="28"/>
          <w:szCs w:val="28"/>
        </w:rPr>
        <w:t xml:space="preserve">Липецкой области </w:t>
      </w:r>
      <w:r w:rsidRPr="008F6728">
        <w:rPr>
          <w:sz w:val="28"/>
          <w:szCs w:val="28"/>
        </w:rPr>
        <w:t>Российской Федерации четвертого созыва по одномандатному избирательному округу №4.</w:t>
      </w:r>
    </w:p>
    <w:p w:rsidR="00AA480D" w:rsidRPr="008F6728" w:rsidRDefault="00AA480D" w:rsidP="008F6728">
      <w:pPr>
        <w:spacing w:line="264" w:lineRule="auto"/>
        <w:ind w:firstLine="708"/>
        <w:jc w:val="both"/>
        <w:rPr>
          <w:sz w:val="20"/>
          <w:szCs w:val="20"/>
        </w:rPr>
      </w:pPr>
      <w:r w:rsidRPr="008F6728">
        <w:rPr>
          <w:sz w:val="28"/>
        </w:rPr>
        <w:t xml:space="preserve">3. Выдать уполномоченному представителю указанного избирательного объединения копию настоящего постановления. </w:t>
      </w:r>
    </w:p>
    <w:p w:rsidR="00AA480D" w:rsidRPr="008F6728" w:rsidRDefault="00AA480D" w:rsidP="008F6728">
      <w:pPr>
        <w:tabs>
          <w:tab w:val="left" w:pos="-2250"/>
        </w:tabs>
        <w:spacing w:line="264" w:lineRule="auto"/>
        <w:jc w:val="both"/>
        <w:rPr>
          <w:sz w:val="28"/>
        </w:rPr>
      </w:pPr>
      <w:r w:rsidRPr="008F6728">
        <w:rPr>
          <w:sz w:val="28"/>
        </w:rPr>
        <w:lastRenderedPageBreak/>
        <w:tab/>
        <w:t>4. Разместить настоящее постановление на сайте территориальной избирательной комиссии Лебедянского района.</w:t>
      </w:r>
    </w:p>
    <w:p w:rsidR="00AA480D" w:rsidRDefault="00AA480D" w:rsidP="00AA480D">
      <w:pPr>
        <w:pStyle w:val="a6"/>
        <w:rPr>
          <w:b/>
          <w:bCs/>
          <w:sz w:val="24"/>
        </w:rPr>
      </w:pPr>
    </w:p>
    <w:p w:rsidR="00AA480D" w:rsidRDefault="00AA480D" w:rsidP="00AA480D">
      <w:pPr>
        <w:pStyle w:val="a6"/>
        <w:rPr>
          <w:b/>
          <w:bCs/>
          <w:sz w:val="24"/>
        </w:rPr>
      </w:pPr>
    </w:p>
    <w:p w:rsidR="008F6728" w:rsidRDefault="008F6728" w:rsidP="008F6728">
      <w:pPr>
        <w:tabs>
          <w:tab w:val="left" w:pos="-2250"/>
        </w:tabs>
        <w:spacing w:line="360" w:lineRule="auto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tbl>
      <w:tblPr>
        <w:tblW w:w="9606" w:type="dxa"/>
        <w:tblLook w:val="04A0"/>
      </w:tblPr>
      <w:tblGrid>
        <w:gridCol w:w="7479"/>
        <w:gridCol w:w="2127"/>
      </w:tblGrid>
      <w:tr w:rsidR="008F6728" w:rsidRPr="000B34CB" w:rsidTr="00EB465B">
        <w:tc>
          <w:tcPr>
            <w:tcW w:w="7479" w:type="dxa"/>
          </w:tcPr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избирательной комиссии</w:t>
            </w:r>
            <w:r w:rsidRPr="003829CB">
              <w:rPr>
                <w:b/>
                <w:sz w:val="28"/>
                <w:szCs w:val="28"/>
              </w:rPr>
              <w:tab/>
            </w:r>
          </w:p>
          <w:p w:rsidR="008F6728" w:rsidRPr="003829CB" w:rsidRDefault="008F6728" w:rsidP="00EB465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6728" w:rsidRPr="003829CB" w:rsidRDefault="008F6728" w:rsidP="00EB465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AA480D" w:rsidRDefault="00AA480D" w:rsidP="00AA480D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B904BD" w:rsidRDefault="00B904BD"/>
    <w:sectPr w:rsidR="00B904BD" w:rsidSect="00AA480D">
      <w:headerReference w:type="even" r:id="rId6"/>
      <w:headerReference w:type="default" r:id="rId7"/>
      <w:pgSz w:w="11906" w:h="16838"/>
      <w:pgMar w:top="1079" w:right="746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ECC" w:rsidRDefault="00691ECC" w:rsidP="005A525A">
      <w:r>
        <w:separator/>
      </w:r>
    </w:p>
  </w:endnote>
  <w:endnote w:type="continuationSeparator" w:id="0">
    <w:p w:rsidR="00691ECC" w:rsidRDefault="00691ECC" w:rsidP="005A5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ECC" w:rsidRDefault="00691ECC" w:rsidP="005A525A">
      <w:r>
        <w:separator/>
      </w:r>
    </w:p>
  </w:footnote>
  <w:footnote w:type="continuationSeparator" w:id="0">
    <w:p w:rsidR="00691ECC" w:rsidRDefault="00691ECC" w:rsidP="005A5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39C" w:rsidRDefault="00465F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23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39C" w:rsidRDefault="006023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39C" w:rsidRDefault="00465F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23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7899">
      <w:rPr>
        <w:rStyle w:val="a5"/>
        <w:noProof/>
      </w:rPr>
      <w:t>3</w:t>
    </w:r>
    <w:r>
      <w:rPr>
        <w:rStyle w:val="a5"/>
      </w:rPr>
      <w:fldChar w:fldCharType="end"/>
    </w:r>
  </w:p>
  <w:p w:rsidR="0060239C" w:rsidRDefault="006023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80D"/>
    <w:rsid w:val="000C0415"/>
    <w:rsid w:val="00465F8F"/>
    <w:rsid w:val="004A7C21"/>
    <w:rsid w:val="004C7899"/>
    <w:rsid w:val="005A525A"/>
    <w:rsid w:val="0060239C"/>
    <w:rsid w:val="00691ECC"/>
    <w:rsid w:val="008F6728"/>
    <w:rsid w:val="00AA480D"/>
    <w:rsid w:val="00B904BD"/>
    <w:rsid w:val="00F0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F6728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48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A480D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page number"/>
    <w:basedOn w:val="a0"/>
    <w:rsid w:val="00AA480D"/>
  </w:style>
  <w:style w:type="paragraph" w:styleId="a6">
    <w:name w:val="Body Text"/>
    <w:basedOn w:val="a"/>
    <w:link w:val="a7"/>
    <w:rsid w:val="00AA480D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A480D"/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6728"/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paragraph" w:customStyle="1" w:styleId="ConsPlusNonformat">
    <w:name w:val="ConsPlusNonformat"/>
    <w:rsid w:val="008F6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5</cp:revision>
  <cp:lastPrinted>2024-07-08T12:30:00Z</cp:lastPrinted>
  <dcterms:created xsi:type="dcterms:W3CDTF">2024-07-08T12:15:00Z</dcterms:created>
  <dcterms:modified xsi:type="dcterms:W3CDTF">2024-07-08T12:34:00Z</dcterms:modified>
</cp:coreProperties>
</file>